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38D6" w14:textId="77777777" w:rsidR="003A4FDC" w:rsidRDefault="00257A49">
      <w:pPr>
        <w:widowControl w:val="0"/>
        <w:pBdr>
          <w:top w:val="nil"/>
          <w:left w:val="nil"/>
          <w:bottom w:val="nil"/>
          <w:right w:val="nil"/>
          <w:between w:val="nil"/>
        </w:pBdr>
        <w:spacing w:line="461" w:lineRule="auto"/>
        <w:ind w:left="42" w:right="210" w:firstLine="211"/>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Do “Dollar” and “Detrimental” belong in the same </w:t>
      </w:r>
      <w:proofErr w:type="gramStart"/>
      <w:r>
        <w:rPr>
          <w:rFonts w:ascii="Times New Roman" w:eastAsia="Times New Roman" w:hAnsi="Times New Roman" w:cs="Times New Roman"/>
          <w:b/>
          <w:color w:val="000000"/>
          <w:sz w:val="24"/>
          <w:szCs w:val="24"/>
        </w:rPr>
        <w:t>sentence?:</w:t>
      </w:r>
      <w:proofErr w:type="gramEnd"/>
      <w:r>
        <w:rPr>
          <w:rFonts w:ascii="Times New Roman" w:eastAsia="Times New Roman" w:hAnsi="Times New Roman" w:cs="Times New Roman"/>
          <w:b/>
          <w:color w:val="000000"/>
          <w:sz w:val="24"/>
          <w:szCs w:val="24"/>
        </w:rPr>
        <w:t xml:space="preserve"> An Economic Evaluation</w:t>
      </w:r>
    </w:p>
    <w:p w14:paraId="04554A67" w14:textId="77777777" w:rsidR="003A4FDC" w:rsidRDefault="003A4FDC">
      <w:pPr>
        <w:widowControl w:val="0"/>
        <w:pBdr>
          <w:top w:val="nil"/>
          <w:left w:val="nil"/>
          <w:bottom w:val="nil"/>
          <w:right w:val="nil"/>
          <w:between w:val="nil"/>
        </w:pBdr>
        <w:spacing w:line="461" w:lineRule="auto"/>
        <w:ind w:left="42" w:right="210" w:firstLine="211"/>
        <w:rPr>
          <w:rFonts w:ascii="Times New Roman" w:eastAsia="Times New Roman" w:hAnsi="Times New Roman" w:cs="Times New Roman"/>
          <w:b/>
          <w:sz w:val="24"/>
          <w:szCs w:val="24"/>
        </w:rPr>
      </w:pPr>
    </w:p>
    <w:p w14:paraId="57141108" w14:textId="77777777" w:rsidR="003A4FDC" w:rsidRDefault="00257A49">
      <w:pPr>
        <w:widowControl w:val="0"/>
        <w:pBdr>
          <w:top w:val="nil"/>
          <w:left w:val="nil"/>
          <w:bottom w:val="nil"/>
          <w:right w:val="nil"/>
          <w:between w:val="nil"/>
        </w:pBdr>
        <w:spacing w:line="461" w:lineRule="auto"/>
        <w:ind w:left="42" w:right="210" w:firstLine="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Almost anyone has heard the saying that “the U.S. dollar is strong”, but can the U.S. dollar be </w:t>
      </w:r>
      <w:r>
        <w:rPr>
          <w:rFonts w:ascii="Times New Roman" w:eastAsia="Times New Roman" w:hAnsi="Times New Roman" w:cs="Times New Roman"/>
          <w:i/>
          <w:color w:val="000000"/>
          <w:sz w:val="24"/>
          <w:szCs w:val="24"/>
        </w:rPr>
        <w:t xml:space="preserve">too </w:t>
      </w:r>
      <w:r>
        <w:rPr>
          <w:rFonts w:ascii="Times New Roman" w:eastAsia="Times New Roman" w:hAnsi="Times New Roman" w:cs="Times New Roman"/>
          <w:color w:val="000000"/>
          <w:sz w:val="24"/>
          <w:szCs w:val="24"/>
        </w:rPr>
        <w:t xml:space="preserve">strong? To understand the full impact of the U.S. dollar, one must first understand how the dollar came into power. </w:t>
      </w:r>
    </w:p>
    <w:p w14:paraId="37DE41EA" w14:textId="77777777" w:rsidR="003A4FDC" w:rsidRDefault="00257A49">
      <w:pPr>
        <w:widowControl w:val="0"/>
        <w:pBdr>
          <w:top w:val="nil"/>
          <w:left w:val="nil"/>
          <w:bottom w:val="nil"/>
          <w:right w:val="nil"/>
          <w:between w:val="nil"/>
        </w:pBdr>
        <w:spacing w:before="290" w:line="459" w:lineRule="auto"/>
        <w:ind w:right="79" w:firstLine="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Globalization in the 20th century shift</w:t>
      </w:r>
      <w:r>
        <w:rPr>
          <w:rFonts w:ascii="Times New Roman" w:eastAsia="Times New Roman" w:hAnsi="Times New Roman" w:cs="Times New Roman"/>
          <w:color w:val="000000"/>
          <w:sz w:val="24"/>
          <w:szCs w:val="24"/>
        </w:rPr>
        <w:t>ed power dynamics, propelling the United States into a leading position after the world wars (Fisher). Initially, the British pound was dominant due to the thriving British Empire. However, the Bretton Woods Agreement in 1944 replaced the gold standard wit</w:t>
      </w:r>
      <w:r>
        <w:rPr>
          <w:rFonts w:ascii="Times New Roman" w:eastAsia="Times New Roman" w:hAnsi="Times New Roman" w:cs="Times New Roman"/>
          <w:color w:val="000000"/>
          <w:sz w:val="24"/>
          <w:szCs w:val="24"/>
        </w:rPr>
        <w:t>h the U.S. dollar as the global reserve currency, sparking the beginning of the dollar’s regime. In the 1970s, inflation prompted President Nixon to end the gold standard, marking the start of our modern economy. Today, the U.S. dollar is recognized as the</w:t>
      </w:r>
      <w:r>
        <w:rPr>
          <w:rFonts w:ascii="Times New Roman" w:eastAsia="Times New Roman" w:hAnsi="Times New Roman" w:cs="Times New Roman"/>
          <w:color w:val="000000"/>
          <w:sz w:val="24"/>
          <w:szCs w:val="24"/>
        </w:rPr>
        <w:t xml:space="preserve"> world’s </w:t>
      </w:r>
      <w:r>
        <w:rPr>
          <w:rFonts w:ascii="Times New Roman" w:eastAsia="Times New Roman" w:hAnsi="Times New Roman" w:cs="Times New Roman"/>
          <w:i/>
          <w:color w:val="000000"/>
          <w:sz w:val="24"/>
          <w:szCs w:val="24"/>
        </w:rPr>
        <w:t xml:space="preserve">de facto currency </w:t>
      </w:r>
      <w:r>
        <w:rPr>
          <w:rFonts w:ascii="Times New Roman" w:eastAsia="Times New Roman" w:hAnsi="Times New Roman" w:cs="Times New Roman"/>
          <w:color w:val="000000"/>
          <w:sz w:val="24"/>
          <w:szCs w:val="24"/>
        </w:rPr>
        <w:t xml:space="preserve">(Corporate Financial Institute). </w:t>
      </w:r>
    </w:p>
    <w:p w14:paraId="649377F6" w14:textId="77777777" w:rsidR="003A4FDC" w:rsidRDefault="00257A49">
      <w:pPr>
        <w:widowControl w:val="0"/>
        <w:pBdr>
          <w:top w:val="nil"/>
          <w:left w:val="nil"/>
          <w:bottom w:val="nil"/>
          <w:right w:val="nil"/>
          <w:between w:val="nil"/>
        </w:pBdr>
        <w:spacing w:before="292" w:line="459" w:lineRule="auto"/>
        <w:ind w:left="43"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some economists believe that the dollar’s dominance is waning. They argue that China’s economy will surpass America’s due to the outsourcing of American manufacturing, leading to increased control of international production and global monetary tr</w:t>
      </w:r>
      <w:r>
        <w:rPr>
          <w:rFonts w:ascii="Times New Roman" w:eastAsia="Times New Roman" w:hAnsi="Times New Roman" w:cs="Times New Roman"/>
          <w:color w:val="000000"/>
          <w:sz w:val="24"/>
          <w:szCs w:val="24"/>
        </w:rPr>
        <w:t>ansactions by other countries (Mohamed). Current events signal that rival countries are attempting to diminish the dollar’s influence. In fact, in March 2023, Vladimir Putin and Chinese President Xi Jinping signed 14 economic agreements, mentioning specifi</w:t>
      </w:r>
      <w:r>
        <w:rPr>
          <w:rFonts w:ascii="Times New Roman" w:eastAsia="Times New Roman" w:hAnsi="Times New Roman" w:cs="Times New Roman"/>
          <w:color w:val="000000"/>
          <w:sz w:val="24"/>
          <w:szCs w:val="24"/>
        </w:rPr>
        <w:t>cally to use “the Chinese yuan for settlements between Russia and the countries of Asia, Africa, and Latin America” (</w:t>
      </w:r>
      <w:proofErr w:type="spellStart"/>
      <w:r>
        <w:rPr>
          <w:rFonts w:ascii="Times New Roman" w:eastAsia="Times New Roman" w:hAnsi="Times New Roman" w:cs="Times New Roman"/>
          <w:color w:val="000000"/>
          <w:sz w:val="24"/>
          <w:szCs w:val="24"/>
        </w:rPr>
        <w:t>Lasarte</w:t>
      </w:r>
      <w:proofErr w:type="spellEnd"/>
      <w:r>
        <w:rPr>
          <w:rFonts w:ascii="Times New Roman" w:eastAsia="Times New Roman" w:hAnsi="Times New Roman" w:cs="Times New Roman"/>
          <w:color w:val="000000"/>
          <w:sz w:val="24"/>
          <w:szCs w:val="24"/>
        </w:rPr>
        <w:t xml:space="preserve">). </w:t>
      </w:r>
    </w:p>
    <w:p w14:paraId="086DFCED" w14:textId="77777777" w:rsidR="003A4FDC" w:rsidRDefault="00257A49">
      <w:pPr>
        <w:widowControl w:val="0"/>
        <w:pBdr>
          <w:top w:val="nil"/>
          <w:left w:val="nil"/>
          <w:bottom w:val="nil"/>
          <w:right w:val="nil"/>
          <w:between w:val="nil"/>
        </w:pBdr>
        <w:spacing w:before="292" w:line="459" w:lineRule="auto"/>
        <w:ind w:left="48" w:right="254"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Others disagree. Despite ongoing discussions about challenging the legitimacy of the dollar, it has maintained its strength. In </w:t>
      </w:r>
      <w:r>
        <w:rPr>
          <w:rFonts w:ascii="Times New Roman" w:eastAsia="Times New Roman" w:hAnsi="Times New Roman" w:cs="Times New Roman"/>
          <w:color w:val="000000"/>
          <w:sz w:val="24"/>
          <w:szCs w:val="24"/>
        </w:rPr>
        <w:t>2023, the dollar accounted for approximately 60% of global currency reserves, a significant rise from its share of 50% three decades ago as shown in</w:t>
      </w:r>
    </w:p>
    <w:p w14:paraId="7E8CBA6E" w14:textId="77777777" w:rsidR="003A4FDC" w:rsidRDefault="00257A49">
      <w:pPr>
        <w:widowControl w:val="0"/>
        <w:pBdr>
          <w:top w:val="nil"/>
          <w:left w:val="nil"/>
          <w:bottom w:val="nil"/>
          <w:right w:val="nil"/>
          <w:between w:val="nil"/>
        </w:pBdr>
        <w:spacing w:line="459" w:lineRule="auto"/>
        <w:ind w:left="51" w:right="638"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CITI graph (Brusuelas). Currently, there is no immediate risk to the dollar’s dominance (NPR). </w:t>
      </w:r>
    </w:p>
    <w:p w14:paraId="77D8FFD9" w14:textId="77777777" w:rsidR="003A4FDC" w:rsidRDefault="00257A49">
      <w:pPr>
        <w:widowControl w:val="0"/>
        <w:pBdr>
          <w:top w:val="nil"/>
          <w:left w:val="nil"/>
          <w:bottom w:val="nil"/>
          <w:right w:val="nil"/>
          <w:between w:val="nil"/>
        </w:pBdr>
        <w:spacing w:before="338" w:line="229" w:lineRule="auto"/>
        <w:ind w:left="45" w:right="13" w:firstLine="2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BD7480D" wp14:editId="1CF3F144">
            <wp:extent cx="5943600" cy="2381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381250"/>
                    </a:xfrm>
                    <a:prstGeom prst="rect">
                      <a:avLst/>
                    </a:prstGeom>
                    <a:ln/>
                  </pic:spPr>
                </pic:pic>
              </a:graphicData>
            </a:graphic>
          </wp:inline>
        </w:drawing>
      </w:r>
      <w:r>
        <w:rPr>
          <w:rFonts w:ascii="Times New Roman" w:eastAsia="Times New Roman" w:hAnsi="Times New Roman" w:cs="Times New Roman"/>
          <w:color w:val="000000"/>
          <w:sz w:val="24"/>
          <w:szCs w:val="24"/>
        </w:rPr>
        <w:t xml:space="preserve">But is it necessarily </w:t>
      </w:r>
      <w:r>
        <w:rPr>
          <w:rFonts w:ascii="Times New Roman" w:eastAsia="Times New Roman" w:hAnsi="Times New Roman" w:cs="Times New Roman"/>
          <w:i/>
          <w:color w:val="000000"/>
          <w:sz w:val="24"/>
          <w:szCs w:val="24"/>
        </w:rPr>
        <w:t xml:space="preserve">good </w:t>
      </w:r>
      <w:r>
        <w:rPr>
          <w:rFonts w:ascii="Times New Roman" w:eastAsia="Times New Roman" w:hAnsi="Times New Roman" w:cs="Times New Roman"/>
          <w:color w:val="000000"/>
          <w:sz w:val="24"/>
          <w:szCs w:val="24"/>
        </w:rPr>
        <w:t xml:space="preserve">that the dollar remains strong? </w:t>
      </w:r>
    </w:p>
    <w:p w14:paraId="5ADC2BA1" w14:textId="77777777" w:rsidR="003A4FDC" w:rsidRDefault="00257A49">
      <w:pPr>
        <w:widowControl w:val="0"/>
        <w:pBdr>
          <w:top w:val="nil"/>
          <w:left w:val="nil"/>
          <w:bottom w:val="nil"/>
          <w:right w:val="nil"/>
          <w:between w:val="nil"/>
        </w:pBdr>
        <w:spacing w:before="92" w:line="459" w:lineRule="auto"/>
        <w:ind w:left="42" w:right="39"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 dollar’s strong influence has fueled global economic growth for many years, ensuring low interest rates and crucial liquidity in dollars across the globe. In crises like the 2008 recession,</w:t>
      </w:r>
      <w:r>
        <w:rPr>
          <w:rFonts w:ascii="Times New Roman" w:eastAsia="Times New Roman" w:hAnsi="Times New Roman" w:cs="Times New Roman"/>
          <w:color w:val="000000"/>
          <w:sz w:val="24"/>
          <w:szCs w:val="24"/>
        </w:rPr>
        <w:t xml:space="preserve"> the Federal Reserve’s provision of dollar swap lines to trusted foreign banks injected crucial liquidity without significantly affecting the value of the dollar (Luo). Dollar liquidity is vital for the global economy, with studies showing its link to impr</w:t>
      </w:r>
      <w:r>
        <w:rPr>
          <w:rFonts w:ascii="Times New Roman" w:eastAsia="Times New Roman" w:hAnsi="Times New Roman" w:cs="Times New Roman"/>
          <w:color w:val="000000"/>
          <w:sz w:val="24"/>
          <w:szCs w:val="24"/>
        </w:rPr>
        <w:t xml:space="preserve">ovements in mortality rates (Schoenherr). </w:t>
      </w:r>
    </w:p>
    <w:p w14:paraId="4B82ACCF" w14:textId="77777777" w:rsidR="003A4FDC" w:rsidRDefault="00257A49">
      <w:pPr>
        <w:widowControl w:val="0"/>
        <w:pBdr>
          <w:top w:val="nil"/>
          <w:left w:val="nil"/>
          <w:bottom w:val="nil"/>
          <w:right w:val="nil"/>
          <w:between w:val="nil"/>
        </w:pBdr>
        <w:spacing w:before="292" w:line="459" w:lineRule="auto"/>
        <w:ind w:left="43" w:righ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Federal Reserve, with its Board of Governors, Federal Reserve Banks, and committees, operates independently from political influence, ensuring that decisions are made in the best interest of the economy (Feder</w:t>
      </w:r>
      <w:r>
        <w:rPr>
          <w:rFonts w:ascii="Times New Roman" w:eastAsia="Times New Roman" w:hAnsi="Times New Roman" w:cs="Times New Roman"/>
          <w:color w:val="000000"/>
          <w:sz w:val="24"/>
          <w:szCs w:val="24"/>
        </w:rPr>
        <w:t>al Reserve). The Federal Reserve has the authority to set monetary policy and regulate banks without interference, leading to better economic outcomes.</w:t>
      </w:r>
    </w:p>
    <w:p w14:paraId="6F2C5B8F" w14:textId="77777777" w:rsidR="003A4FDC" w:rsidRDefault="00257A49">
      <w:pPr>
        <w:widowControl w:val="0"/>
        <w:pBdr>
          <w:top w:val="nil"/>
          <w:left w:val="nil"/>
          <w:bottom w:val="nil"/>
          <w:right w:val="nil"/>
          <w:between w:val="nil"/>
        </w:pBdr>
        <w:spacing w:line="459" w:lineRule="auto"/>
        <w:ind w:left="42" w:right="45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Indeed, studies have shown that central bank independence is associated with lower inflation rates without harming growth and employment goals (Saylor). </w:t>
      </w:r>
    </w:p>
    <w:p w14:paraId="13C17F67" w14:textId="77777777" w:rsidR="003A4FDC" w:rsidRDefault="00257A49">
      <w:pPr>
        <w:widowControl w:val="0"/>
        <w:pBdr>
          <w:top w:val="nil"/>
          <w:left w:val="nil"/>
          <w:bottom w:val="nil"/>
          <w:right w:val="nil"/>
          <w:between w:val="nil"/>
        </w:pBdr>
        <w:spacing w:before="292" w:line="459" w:lineRule="auto"/>
        <w:ind w:left="41" w:right="157"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there are negative aspects to consider. The US uses economic policy as a </w:t>
      </w:r>
      <w:r>
        <w:rPr>
          <w:rFonts w:ascii="Times New Roman" w:eastAsia="Times New Roman" w:hAnsi="Times New Roman" w:cs="Times New Roman"/>
          <w:color w:val="000000"/>
          <w:sz w:val="24"/>
          <w:szCs w:val="24"/>
        </w:rPr>
        <w:lastRenderedPageBreak/>
        <w:t>primary tool in glob</w:t>
      </w:r>
      <w:r>
        <w:rPr>
          <w:rFonts w:ascii="Times New Roman" w:eastAsia="Times New Roman" w:hAnsi="Times New Roman" w:cs="Times New Roman"/>
          <w:color w:val="000000"/>
          <w:sz w:val="24"/>
          <w:szCs w:val="24"/>
        </w:rPr>
        <w:t>al affairs, particularly through foreign direct investment (FDI). While FDI can benefit resource-rich but economically disadvantaged countries, multinational corporations often exploit tax loopholes and divert funds (UNCTAD). This can create dependency and</w:t>
      </w:r>
      <w:r>
        <w:rPr>
          <w:rFonts w:ascii="Times New Roman" w:eastAsia="Times New Roman" w:hAnsi="Times New Roman" w:cs="Times New Roman"/>
          <w:color w:val="000000"/>
          <w:sz w:val="24"/>
          <w:szCs w:val="24"/>
        </w:rPr>
        <w:t xml:space="preserve"> result in an unequal trade balance and environmental degradation in developing nations. It perpetuates a cycle where economic growth comes at the expense of well-being (</w:t>
      </w:r>
      <w:proofErr w:type="spellStart"/>
      <w:r>
        <w:rPr>
          <w:rFonts w:ascii="Times New Roman" w:eastAsia="Times New Roman" w:hAnsi="Times New Roman" w:cs="Times New Roman"/>
          <w:color w:val="000000"/>
          <w:sz w:val="24"/>
          <w:szCs w:val="24"/>
        </w:rPr>
        <w:t>Caycedo</w:t>
      </w:r>
      <w:proofErr w:type="spellEnd"/>
      <w:r>
        <w:rPr>
          <w:rFonts w:ascii="Times New Roman" w:eastAsia="Times New Roman" w:hAnsi="Times New Roman" w:cs="Times New Roman"/>
          <w:color w:val="000000"/>
          <w:sz w:val="24"/>
          <w:szCs w:val="24"/>
        </w:rPr>
        <w:t xml:space="preserve">). </w:t>
      </w:r>
    </w:p>
    <w:p w14:paraId="01414F0A" w14:textId="77777777" w:rsidR="003A4FDC" w:rsidRDefault="00257A49">
      <w:pPr>
        <w:widowControl w:val="0"/>
        <w:pBdr>
          <w:top w:val="nil"/>
          <w:left w:val="nil"/>
          <w:bottom w:val="nil"/>
          <w:right w:val="nil"/>
          <w:between w:val="nil"/>
        </w:pBdr>
        <w:spacing w:before="292" w:line="459" w:lineRule="auto"/>
        <w:ind w:left="41" w:right="51"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expansion of supply chains driven by FDI in these countries contributes</w:t>
      </w:r>
      <w:r>
        <w:rPr>
          <w:rFonts w:ascii="Times New Roman" w:eastAsia="Times New Roman" w:hAnsi="Times New Roman" w:cs="Times New Roman"/>
          <w:color w:val="000000"/>
          <w:sz w:val="24"/>
          <w:szCs w:val="24"/>
        </w:rPr>
        <w:t xml:space="preserve"> to environmental harm and resource depletion. This reflects the ‘treadmill of production’ theory, which suggests that the relentless pursuit of economic growth sacrifices well-being for unattainable goals (Gould et al.). This theory is evident in U.S. inv</w:t>
      </w:r>
      <w:r>
        <w:rPr>
          <w:rFonts w:ascii="Times New Roman" w:eastAsia="Times New Roman" w:hAnsi="Times New Roman" w:cs="Times New Roman"/>
          <w:color w:val="000000"/>
          <w:sz w:val="24"/>
          <w:szCs w:val="24"/>
        </w:rPr>
        <w:t xml:space="preserve">olvement in foreign economies, leading to rapid but unsustainable growth in Africa and Mexico. Forced development disrupts established progress and creates economic instability. </w:t>
      </w:r>
    </w:p>
    <w:p w14:paraId="4181E416" w14:textId="77777777" w:rsidR="003A4FDC" w:rsidRDefault="00257A49">
      <w:pPr>
        <w:widowControl w:val="0"/>
        <w:pBdr>
          <w:top w:val="nil"/>
          <w:left w:val="nil"/>
          <w:bottom w:val="nil"/>
          <w:right w:val="nil"/>
          <w:between w:val="nil"/>
        </w:pBdr>
        <w:spacing w:before="292" w:line="459" w:lineRule="auto"/>
        <w:ind w:left="49" w:right="201" w:firstLine="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instance, in West Africa and Sub-Saharan Africa, rapid urbanization strains economies, as the population is expected to double in 25 years (</w:t>
      </w:r>
      <w:proofErr w:type="spellStart"/>
      <w:r>
        <w:rPr>
          <w:rFonts w:ascii="Times New Roman" w:eastAsia="Times New Roman" w:hAnsi="Times New Roman" w:cs="Times New Roman"/>
          <w:color w:val="000000"/>
          <w:sz w:val="24"/>
          <w:szCs w:val="24"/>
        </w:rPr>
        <w:t>Saghir</w:t>
      </w:r>
      <w:proofErr w:type="spellEnd"/>
      <w:r>
        <w:rPr>
          <w:rFonts w:ascii="Times New Roman" w:eastAsia="Times New Roman" w:hAnsi="Times New Roman" w:cs="Times New Roman"/>
          <w:color w:val="000000"/>
          <w:sz w:val="24"/>
          <w:szCs w:val="24"/>
        </w:rPr>
        <w:t>). Similarly, U.S. actions, such as interest rate hikes in the late 1970s, caused economic turmoil in Mexi</w:t>
      </w:r>
      <w:r>
        <w:rPr>
          <w:rFonts w:ascii="Times New Roman" w:eastAsia="Times New Roman" w:hAnsi="Times New Roman" w:cs="Times New Roman"/>
          <w:color w:val="000000"/>
          <w:sz w:val="24"/>
          <w:szCs w:val="24"/>
        </w:rPr>
        <w:t>co, leading to currency devaluation and reliance on IMF bailouts (</w:t>
      </w:r>
      <w:proofErr w:type="spellStart"/>
      <w:r>
        <w:rPr>
          <w:rFonts w:ascii="Times New Roman" w:eastAsia="Times New Roman" w:hAnsi="Times New Roman" w:cs="Times New Roman"/>
          <w:color w:val="000000"/>
          <w:sz w:val="24"/>
          <w:szCs w:val="24"/>
        </w:rPr>
        <w:t>Musacchio</w:t>
      </w:r>
      <w:proofErr w:type="spellEnd"/>
      <w:r>
        <w:rPr>
          <w:rFonts w:ascii="Times New Roman" w:eastAsia="Times New Roman" w:hAnsi="Times New Roman" w:cs="Times New Roman"/>
          <w:color w:val="000000"/>
          <w:sz w:val="24"/>
          <w:szCs w:val="24"/>
        </w:rPr>
        <w:t xml:space="preserve">). This intervention perpetuates economic harm and wage inequality. </w:t>
      </w:r>
    </w:p>
    <w:p w14:paraId="2F17F557" w14:textId="77777777" w:rsidR="003A4FDC" w:rsidRDefault="00257A49">
      <w:pPr>
        <w:widowControl w:val="0"/>
        <w:pBdr>
          <w:top w:val="nil"/>
          <w:left w:val="nil"/>
          <w:bottom w:val="nil"/>
          <w:right w:val="nil"/>
          <w:between w:val="nil"/>
        </w:pBdr>
        <w:spacing w:before="292" w:line="459" w:lineRule="auto"/>
        <w:ind w:left="43" w:right="289"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Overall, with the dominance of the U.S. dollar, income inequality has thrived, reaching the highest level in the</w:t>
      </w:r>
      <w:r>
        <w:rPr>
          <w:rFonts w:ascii="Times New Roman" w:eastAsia="Times New Roman" w:hAnsi="Times New Roman" w:cs="Times New Roman"/>
          <w:color w:val="000000"/>
          <w:sz w:val="24"/>
          <w:szCs w:val="24"/>
        </w:rPr>
        <w:t xml:space="preserve"> past fifty years, with a GINI index of .485 (Schneider).</w:t>
      </w:r>
    </w:p>
    <w:p w14:paraId="452BC546" w14:textId="77777777" w:rsidR="003A4FDC" w:rsidRDefault="00257A49">
      <w:pPr>
        <w:widowControl w:val="0"/>
        <w:pBdr>
          <w:top w:val="nil"/>
          <w:left w:val="nil"/>
          <w:bottom w:val="nil"/>
          <w:right w:val="nil"/>
          <w:between w:val="nil"/>
        </w:pBdr>
        <w:spacing w:line="459" w:lineRule="auto"/>
        <w:ind w:left="50" w:right="159" w:firstLine="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the dollar has its faults, other options are worse. The euro does not offer a strong alternative to the dollar in terms of macroeconomic policies. The eurozone has enormous deficit spending, a</w:t>
      </w:r>
      <w:r>
        <w:rPr>
          <w:rFonts w:ascii="Times New Roman" w:eastAsia="Times New Roman" w:hAnsi="Times New Roman" w:cs="Times New Roman"/>
          <w:color w:val="000000"/>
          <w:sz w:val="24"/>
          <w:szCs w:val="24"/>
        </w:rPr>
        <w:t>nd the euro is also subject to monetary inflation (</w:t>
      </w:r>
      <w:proofErr w:type="spellStart"/>
      <w:r>
        <w:rPr>
          <w:rFonts w:ascii="Times New Roman" w:eastAsia="Times New Roman" w:hAnsi="Times New Roman" w:cs="Times New Roman"/>
          <w:color w:val="000000"/>
          <w:sz w:val="24"/>
          <w:szCs w:val="24"/>
        </w:rPr>
        <w:t>McMaken</w:t>
      </w:r>
      <w:proofErr w:type="spellEnd"/>
      <w:r>
        <w:rPr>
          <w:rFonts w:ascii="Times New Roman" w:eastAsia="Times New Roman" w:hAnsi="Times New Roman" w:cs="Times New Roman"/>
          <w:color w:val="000000"/>
          <w:sz w:val="24"/>
          <w:szCs w:val="24"/>
        </w:rPr>
        <w:t xml:space="preserve">). Indeed, European sovereign debt is not as secure as that of the US. </w:t>
      </w:r>
    </w:p>
    <w:p w14:paraId="3B3BF0E3" w14:textId="77777777" w:rsidR="003A4FDC" w:rsidRDefault="00257A49">
      <w:pPr>
        <w:widowControl w:val="0"/>
        <w:pBdr>
          <w:top w:val="nil"/>
          <w:left w:val="nil"/>
          <w:bottom w:val="nil"/>
          <w:right w:val="nil"/>
          <w:between w:val="nil"/>
        </w:pBdr>
        <w:spacing w:before="292" w:line="459" w:lineRule="auto"/>
        <w:ind w:left="42" w:right="26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for the yuan, it still has a long way to go. China benefits from its extensive size and scope, but concerns about openness and convertibility persist—mainly because of capital controls. Chinese government debt markets are not as liquid or sophisticated </w:t>
      </w:r>
      <w:r>
        <w:rPr>
          <w:rFonts w:ascii="Times New Roman" w:eastAsia="Times New Roman" w:hAnsi="Times New Roman" w:cs="Times New Roman"/>
          <w:color w:val="000000"/>
          <w:sz w:val="24"/>
          <w:szCs w:val="24"/>
        </w:rPr>
        <w:t>as those in the United States and are therefore not considered as safe as US government bonds (Mises). Furthermore, China’s macroeconomic policies pose a potential geopolitical risk. Moreover, the reliability of China’s commitment to not seize foreign capi</w:t>
      </w:r>
      <w:r>
        <w:rPr>
          <w:rFonts w:ascii="Times New Roman" w:eastAsia="Times New Roman" w:hAnsi="Times New Roman" w:cs="Times New Roman"/>
          <w:color w:val="000000"/>
          <w:sz w:val="24"/>
          <w:szCs w:val="24"/>
        </w:rPr>
        <w:t xml:space="preserve">tal is questionable. </w:t>
      </w:r>
    </w:p>
    <w:p w14:paraId="059501DF" w14:textId="77777777" w:rsidR="003A4FDC" w:rsidRDefault="00257A49">
      <w:pPr>
        <w:widowControl w:val="0"/>
        <w:pBdr>
          <w:top w:val="nil"/>
          <w:left w:val="nil"/>
          <w:bottom w:val="nil"/>
          <w:right w:val="nil"/>
          <w:between w:val="nil"/>
        </w:pBdr>
        <w:spacing w:before="292" w:line="459" w:lineRule="auto"/>
        <w:ind w:left="41" w:right="133" w:firstLine="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while the strong dollar may have negative consequences for foreign countries, it also provides essential stability that other potential reserve currencies cannot offer. In conclusion, despite its drawbacks, the dollar is still the</w:t>
      </w:r>
      <w:r>
        <w:rPr>
          <w:rFonts w:ascii="Times New Roman" w:eastAsia="Times New Roman" w:hAnsi="Times New Roman" w:cs="Times New Roman"/>
          <w:color w:val="000000"/>
          <w:sz w:val="24"/>
          <w:szCs w:val="24"/>
        </w:rPr>
        <w:t xml:space="preserve"> better option among alternatives.</w:t>
      </w:r>
    </w:p>
    <w:p w14:paraId="40756D7A" w14:textId="77777777" w:rsidR="003A4FDC" w:rsidRDefault="00257A4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Works Cited </w:t>
      </w:r>
    </w:p>
    <w:p w14:paraId="73F5B443" w14:textId="77777777" w:rsidR="003A4FDC" w:rsidRDefault="00257A49">
      <w:pPr>
        <w:widowControl w:val="0"/>
        <w:pBdr>
          <w:top w:val="nil"/>
          <w:left w:val="nil"/>
          <w:bottom w:val="nil"/>
          <w:right w:val="nil"/>
          <w:between w:val="nil"/>
        </w:pBdr>
        <w:spacing w:before="511" w:line="459" w:lineRule="auto"/>
        <w:ind w:left="762" w:hanging="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“Bretton Woods Agreement.” </w:t>
      </w:r>
      <w:r>
        <w:rPr>
          <w:rFonts w:ascii="Times New Roman" w:eastAsia="Times New Roman" w:hAnsi="Times New Roman" w:cs="Times New Roman"/>
          <w:i/>
          <w:color w:val="000000"/>
          <w:sz w:val="24"/>
          <w:szCs w:val="24"/>
        </w:rPr>
        <w:t>Corporate Finance Institute</w:t>
      </w:r>
      <w:r>
        <w:rPr>
          <w:rFonts w:ascii="Times New Roman" w:eastAsia="Times New Roman" w:hAnsi="Times New Roman" w:cs="Times New Roman"/>
          <w:color w:val="000000"/>
          <w:sz w:val="24"/>
          <w:szCs w:val="24"/>
        </w:rPr>
        <w:t xml:space="preserve">, 10 Sept. 2021, https://corporatefinanceinstitute.com/resources/knowledge/finance/bretton-woods-agreem </w:t>
      </w:r>
      <w:proofErr w:type="spellStart"/>
      <w:r>
        <w:rPr>
          <w:rFonts w:ascii="Times New Roman" w:eastAsia="Times New Roman" w:hAnsi="Times New Roman" w:cs="Times New Roman"/>
          <w:color w:val="000000"/>
          <w:sz w:val="24"/>
          <w:szCs w:val="24"/>
        </w:rPr>
        <w:t>ent</w:t>
      </w:r>
      <w:proofErr w:type="spellEnd"/>
      <w:r>
        <w:rPr>
          <w:rFonts w:ascii="Times New Roman" w:eastAsia="Times New Roman" w:hAnsi="Times New Roman" w:cs="Times New Roman"/>
          <w:color w:val="000000"/>
          <w:sz w:val="24"/>
          <w:szCs w:val="24"/>
        </w:rPr>
        <w:t xml:space="preserve">/. </w:t>
      </w:r>
    </w:p>
    <w:p w14:paraId="34117177" w14:textId="77777777" w:rsidR="003A4FDC" w:rsidRDefault="00257A49">
      <w:pPr>
        <w:widowControl w:val="0"/>
        <w:pBdr>
          <w:top w:val="nil"/>
          <w:left w:val="nil"/>
          <w:bottom w:val="nil"/>
          <w:right w:val="nil"/>
          <w:between w:val="nil"/>
        </w:pBdr>
        <w:spacing w:before="292" w:line="459" w:lineRule="auto"/>
        <w:ind w:left="764" w:right="175" w:hanging="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Brusuelas, Joseph. “Why the Dollar Remains the World’s Reserve Currency, and Will Stay That Way.” </w:t>
      </w:r>
      <w:r>
        <w:rPr>
          <w:rFonts w:ascii="Times New Roman" w:eastAsia="Times New Roman" w:hAnsi="Times New Roman" w:cs="Times New Roman"/>
          <w:i/>
          <w:color w:val="000000"/>
          <w:sz w:val="24"/>
          <w:szCs w:val="24"/>
        </w:rPr>
        <w:t>The Real Economy Blog</w:t>
      </w:r>
      <w:r>
        <w:rPr>
          <w:rFonts w:ascii="Times New Roman" w:eastAsia="Times New Roman" w:hAnsi="Times New Roman" w:cs="Times New Roman"/>
          <w:color w:val="000000"/>
          <w:sz w:val="24"/>
          <w:szCs w:val="24"/>
        </w:rPr>
        <w:t xml:space="preserve">, 24 Apr. 2023, </w:t>
      </w:r>
    </w:p>
    <w:p w14:paraId="1C3AB747" w14:textId="77777777" w:rsidR="003A4FDC" w:rsidRDefault="00257A49">
      <w:pPr>
        <w:widowControl w:val="0"/>
        <w:pBdr>
          <w:top w:val="nil"/>
          <w:left w:val="nil"/>
          <w:bottom w:val="nil"/>
          <w:right w:val="nil"/>
          <w:between w:val="nil"/>
        </w:pBdr>
        <w:spacing w:before="52" w:line="240" w:lineRule="auto"/>
        <w:ind w:left="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realecono</w:t>
      </w:r>
      <w:r>
        <w:rPr>
          <w:rFonts w:ascii="Times New Roman" w:eastAsia="Times New Roman" w:hAnsi="Times New Roman" w:cs="Times New Roman"/>
          <w:color w:val="000000"/>
          <w:sz w:val="24"/>
          <w:szCs w:val="24"/>
        </w:rPr>
        <w:t xml:space="preserve">my.rsmus.com/why-the-dollar-remains-the-worlds-reserve-currency/. </w:t>
      </w:r>
    </w:p>
    <w:p w14:paraId="1395D87E" w14:textId="77777777" w:rsidR="003A4FDC" w:rsidRDefault="00257A49">
      <w:pPr>
        <w:widowControl w:val="0"/>
        <w:pBdr>
          <w:top w:val="nil"/>
          <w:left w:val="nil"/>
          <w:bottom w:val="nil"/>
          <w:right w:val="nil"/>
          <w:between w:val="nil"/>
        </w:pBdr>
        <w:spacing w:before="511" w:line="459" w:lineRule="auto"/>
        <w:ind w:left="783" w:right="277" w:hanging="73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Caycedo</w:t>
      </w:r>
      <w:proofErr w:type="spellEnd"/>
      <w:r>
        <w:rPr>
          <w:rFonts w:ascii="Times New Roman" w:eastAsia="Times New Roman" w:hAnsi="Times New Roman" w:cs="Times New Roman"/>
          <w:color w:val="000000"/>
          <w:sz w:val="24"/>
          <w:szCs w:val="24"/>
        </w:rPr>
        <w:t xml:space="preserve">, Sofia. “Foreign Direct Investment in Developing Countries: A Blessing or a Curse?” </w:t>
      </w:r>
      <w:r>
        <w:rPr>
          <w:rFonts w:ascii="Times New Roman" w:eastAsia="Times New Roman" w:hAnsi="Times New Roman" w:cs="Times New Roman"/>
          <w:i/>
          <w:color w:val="000000"/>
          <w:sz w:val="24"/>
          <w:szCs w:val="24"/>
        </w:rPr>
        <w:t>Yale Environment Review</w:t>
      </w:r>
      <w:r>
        <w:rPr>
          <w:rFonts w:ascii="Times New Roman" w:eastAsia="Times New Roman" w:hAnsi="Times New Roman" w:cs="Times New Roman"/>
          <w:color w:val="000000"/>
          <w:sz w:val="24"/>
          <w:szCs w:val="24"/>
        </w:rPr>
        <w:t xml:space="preserve">, 5 Feb. 2018, </w:t>
      </w:r>
    </w:p>
    <w:p w14:paraId="769F0800" w14:textId="77777777" w:rsidR="003A4FDC" w:rsidRDefault="00257A49">
      <w:pPr>
        <w:widowControl w:val="0"/>
        <w:pBdr>
          <w:top w:val="nil"/>
          <w:left w:val="nil"/>
          <w:bottom w:val="nil"/>
          <w:right w:val="nil"/>
          <w:between w:val="nil"/>
        </w:pBdr>
        <w:spacing w:before="52" w:line="459" w:lineRule="auto"/>
        <w:ind w:left="773" w:right="10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https://environment-review.yale.edu/foreign-direct-investment-developing-countries-bles sing-or-curse. </w:t>
      </w:r>
    </w:p>
    <w:p w14:paraId="4E02EAF9" w14:textId="77777777" w:rsidR="003A4FDC" w:rsidRDefault="00257A49">
      <w:pPr>
        <w:widowControl w:val="0"/>
        <w:pBdr>
          <w:top w:val="nil"/>
          <w:left w:val="nil"/>
          <w:bottom w:val="nil"/>
          <w:right w:val="nil"/>
          <w:between w:val="nil"/>
        </w:pBdr>
        <w:spacing w:before="292" w:line="459" w:lineRule="auto"/>
        <w:ind w:left="756" w:right="346"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Reserve Board - Structure of the Federal Reserve System.” </w:t>
      </w:r>
      <w:r>
        <w:rPr>
          <w:rFonts w:ascii="Times New Roman" w:eastAsia="Times New Roman" w:hAnsi="Times New Roman" w:cs="Times New Roman"/>
          <w:i/>
          <w:color w:val="000000"/>
          <w:sz w:val="24"/>
          <w:szCs w:val="24"/>
        </w:rPr>
        <w:t xml:space="preserve">Board of Governors of the </w:t>
      </w:r>
      <w:r>
        <w:rPr>
          <w:rFonts w:ascii="Times New Roman" w:eastAsia="Times New Roman" w:hAnsi="Times New Roman" w:cs="Times New Roman"/>
          <w:i/>
          <w:color w:val="000000"/>
          <w:sz w:val="24"/>
          <w:szCs w:val="24"/>
        </w:rPr>
        <w:lastRenderedPageBreak/>
        <w:t>Federal Reserve System</w:t>
      </w:r>
      <w:r>
        <w:rPr>
          <w:rFonts w:ascii="Times New Roman" w:eastAsia="Times New Roman" w:hAnsi="Times New Roman" w:cs="Times New Roman"/>
          <w:color w:val="000000"/>
          <w:sz w:val="24"/>
          <w:szCs w:val="24"/>
        </w:rPr>
        <w:t xml:space="preserve">, 10 Sept. 2021, </w:t>
      </w:r>
    </w:p>
    <w:p w14:paraId="60FD3FC7" w14:textId="77777777" w:rsidR="003A4FDC" w:rsidRDefault="00257A49">
      <w:pPr>
        <w:widowControl w:val="0"/>
        <w:pBdr>
          <w:top w:val="nil"/>
          <w:left w:val="nil"/>
          <w:bottom w:val="nil"/>
          <w:right w:val="nil"/>
          <w:between w:val="nil"/>
        </w:pBdr>
        <w:spacing w:before="52" w:line="240" w:lineRule="auto"/>
        <w:ind w:left="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www.federalreserve.gov/aboutthefed/structure-federal-reserve-system.htm. </w:t>
      </w:r>
    </w:p>
    <w:p w14:paraId="6E848FA7" w14:textId="77777777" w:rsidR="003A4FDC" w:rsidRDefault="00257A49">
      <w:pPr>
        <w:widowControl w:val="0"/>
        <w:pBdr>
          <w:top w:val="nil"/>
          <w:left w:val="nil"/>
          <w:bottom w:val="nil"/>
          <w:right w:val="nil"/>
          <w:between w:val="nil"/>
        </w:pBdr>
        <w:spacing w:before="511" w:line="459" w:lineRule="auto"/>
        <w:ind w:left="763" w:right="424" w:hanging="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Fisher, Max. “How America Became the Most Powerful Country on Earth, in 11 Maps.” </w:t>
      </w:r>
      <w:r>
        <w:rPr>
          <w:rFonts w:ascii="Times New Roman" w:eastAsia="Times New Roman" w:hAnsi="Times New Roman" w:cs="Times New Roman"/>
          <w:i/>
          <w:color w:val="000000"/>
          <w:sz w:val="24"/>
          <w:szCs w:val="24"/>
        </w:rPr>
        <w:t>Vox</w:t>
      </w:r>
      <w:r>
        <w:rPr>
          <w:rFonts w:ascii="Times New Roman" w:eastAsia="Times New Roman" w:hAnsi="Times New Roman" w:cs="Times New Roman"/>
          <w:color w:val="000000"/>
          <w:sz w:val="24"/>
          <w:szCs w:val="24"/>
        </w:rPr>
        <w:t xml:space="preserve">, Vox, 20 May 2015, </w:t>
      </w:r>
    </w:p>
    <w:p w14:paraId="6E87FC1E" w14:textId="77777777" w:rsidR="003A4FDC" w:rsidRDefault="00257A49">
      <w:pPr>
        <w:widowControl w:val="0"/>
        <w:pBdr>
          <w:top w:val="nil"/>
          <w:left w:val="nil"/>
          <w:bottom w:val="nil"/>
          <w:right w:val="nil"/>
          <w:between w:val="nil"/>
        </w:pBdr>
        <w:spacing w:before="52" w:line="240" w:lineRule="auto"/>
        <w:ind w:left="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https://www.vox.com/2015/5/20/8615345/america-global-power-maps. </w:t>
      </w:r>
    </w:p>
    <w:p w14:paraId="71DFEDE0" w14:textId="77777777" w:rsidR="003A4FDC" w:rsidRDefault="00257A49">
      <w:pPr>
        <w:widowControl w:val="0"/>
        <w:pBdr>
          <w:top w:val="nil"/>
          <w:left w:val="nil"/>
          <w:bottom w:val="nil"/>
          <w:right w:val="nil"/>
          <w:between w:val="nil"/>
        </w:pBdr>
        <w:spacing w:before="511" w:line="459" w:lineRule="auto"/>
        <w:ind w:left="49" w:right="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 Fo</w:t>
      </w:r>
      <w:r>
        <w:rPr>
          <w:rFonts w:ascii="Times New Roman" w:eastAsia="Times New Roman" w:hAnsi="Times New Roman" w:cs="Times New Roman"/>
          <w:color w:val="000000"/>
          <w:sz w:val="24"/>
          <w:szCs w:val="24"/>
        </w:rPr>
        <w:t xml:space="preserve">reign Direct Investment Slides for Third Consecutive Year.” </w:t>
      </w:r>
      <w:r>
        <w:rPr>
          <w:rFonts w:ascii="Times New Roman" w:eastAsia="Times New Roman" w:hAnsi="Times New Roman" w:cs="Times New Roman"/>
          <w:i/>
          <w:color w:val="000000"/>
          <w:sz w:val="24"/>
          <w:szCs w:val="24"/>
        </w:rPr>
        <w:t>UNCTAD</w:t>
      </w:r>
      <w:r>
        <w:rPr>
          <w:rFonts w:ascii="Times New Roman" w:eastAsia="Times New Roman" w:hAnsi="Times New Roman" w:cs="Times New Roman"/>
          <w:color w:val="000000"/>
          <w:sz w:val="24"/>
          <w:szCs w:val="24"/>
        </w:rPr>
        <w:t>, 12 June 2019, https://unctad.org/news/global-foreign-direct-investment-slides-third-consecutive-year.</w:t>
      </w:r>
    </w:p>
    <w:p w14:paraId="36B5A8A1" w14:textId="77777777" w:rsidR="003A4FDC" w:rsidRDefault="00257A49">
      <w:pPr>
        <w:widowControl w:val="0"/>
        <w:pBdr>
          <w:top w:val="nil"/>
          <w:left w:val="nil"/>
          <w:bottom w:val="nil"/>
          <w:right w:val="nil"/>
          <w:between w:val="nil"/>
        </w:pBdr>
        <w:spacing w:line="459" w:lineRule="auto"/>
        <w:ind w:left="763" w:right="138" w:hanging="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Gould, Kenneth A., </w:t>
      </w:r>
      <w:proofErr w:type="gramStart"/>
      <w:r>
        <w:rPr>
          <w:rFonts w:ascii="Times New Roman" w:eastAsia="Times New Roman" w:hAnsi="Times New Roman" w:cs="Times New Roman"/>
          <w:color w:val="000000"/>
          <w:sz w:val="24"/>
          <w:szCs w:val="24"/>
        </w:rPr>
        <w:t>Et Al.</w:t>
      </w:r>
      <w:proofErr w:type="gramEnd"/>
      <w:r>
        <w:rPr>
          <w:rFonts w:ascii="Times New Roman" w:eastAsia="Times New Roman" w:hAnsi="Times New Roman" w:cs="Times New Roman"/>
          <w:color w:val="000000"/>
          <w:sz w:val="24"/>
          <w:szCs w:val="24"/>
        </w:rPr>
        <w:t xml:space="preserve"> “Interrogating The Treadmill Of Production: Everything You Wanted to Know About the Treadmill but Were Afraid to Ask.” </w:t>
      </w:r>
      <w:r>
        <w:rPr>
          <w:rFonts w:ascii="Times New Roman" w:eastAsia="Times New Roman" w:hAnsi="Times New Roman" w:cs="Times New Roman"/>
          <w:i/>
          <w:color w:val="000000"/>
          <w:sz w:val="24"/>
          <w:szCs w:val="24"/>
        </w:rPr>
        <w:t>Organization &amp; Environment</w:t>
      </w:r>
      <w:r>
        <w:rPr>
          <w:rFonts w:ascii="Times New Roman" w:eastAsia="Times New Roman" w:hAnsi="Times New Roman" w:cs="Times New Roman"/>
          <w:color w:val="000000"/>
          <w:sz w:val="24"/>
          <w:szCs w:val="24"/>
        </w:rPr>
        <w:t xml:space="preserve">, vol. 17, no. 3, Sage Publications, Inc., 2004, pp. 296–316, </w:t>
      </w:r>
    </w:p>
    <w:p w14:paraId="721304DF" w14:textId="77777777" w:rsidR="003A4FDC" w:rsidRDefault="00257A49">
      <w:pPr>
        <w:widowControl w:val="0"/>
        <w:pBdr>
          <w:top w:val="nil"/>
          <w:left w:val="nil"/>
          <w:bottom w:val="nil"/>
          <w:right w:val="nil"/>
          <w:between w:val="nil"/>
        </w:pBdr>
        <w:spacing w:before="52" w:line="240" w:lineRule="auto"/>
        <w:ind w:left="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http://www.jstor.org/s</w:t>
      </w:r>
      <w:r>
        <w:rPr>
          <w:rFonts w:ascii="Times New Roman" w:eastAsia="Times New Roman" w:hAnsi="Times New Roman" w:cs="Times New Roman"/>
          <w:color w:val="000000"/>
          <w:sz w:val="24"/>
          <w:szCs w:val="24"/>
        </w:rPr>
        <w:t xml:space="preserve">table/26162434. </w:t>
      </w:r>
    </w:p>
    <w:p w14:paraId="5EAEDDCA" w14:textId="77777777" w:rsidR="003A4FDC" w:rsidRDefault="00257A49">
      <w:pPr>
        <w:widowControl w:val="0"/>
        <w:pBdr>
          <w:top w:val="nil"/>
          <w:left w:val="nil"/>
          <w:bottom w:val="nil"/>
          <w:right w:val="nil"/>
          <w:between w:val="nil"/>
        </w:pBdr>
        <w:spacing w:before="511" w:line="459" w:lineRule="auto"/>
        <w:ind w:left="770" w:right="871" w:hanging="72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Lasarte</w:t>
      </w:r>
      <w:proofErr w:type="spellEnd"/>
      <w:r>
        <w:rPr>
          <w:rFonts w:ascii="Times New Roman" w:eastAsia="Times New Roman" w:hAnsi="Times New Roman" w:cs="Times New Roman"/>
          <w:color w:val="000000"/>
          <w:sz w:val="24"/>
          <w:szCs w:val="24"/>
        </w:rPr>
        <w:t xml:space="preserve">, Diego. “Putin Is Strengthening the Yuan’s Role as Russia’s Foreign Currency of Choice.” </w:t>
      </w:r>
      <w:r>
        <w:rPr>
          <w:rFonts w:ascii="Times New Roman" w:eastAsia="Times New Roman" w:hAnsi="Times New Roman" w:cs="Times New Roman"/>
          <w:i/>
          <w:color w:val="000000"/>
          <w:sz w:val="24"/>
          <w:szCs w:val="24"/>
        </w:rPr>
        <w:t>Quartz</w:t>
      </w:r>
      <w:r>
        <w:rPr>
          <w:rFonts w:ascii="Times New Roman" w:eastAsia="Times New Roman" w:hAnsi="Times New Roman" w:cs="Times New Roman"/>
          <w:color w:val="000000"/>
          <w:sz w:val="24"/>
          <w:szCs w:val="24"/>
        </w:rPr>
        <w:t xml:space="preserve">, Quartz, 21 Mar. 2023, </w:t>
      </w:r>
    </w:p>
    <w:p w14:paraId="757F751B" w14:textId="77777777" w:rsidR="003A4FDC" w:rsidRDefault="00257A49">
      <w:pPr>
        <w:widowControl w:val="0"/>
        <w:pBdr>
          <w:top w:val="nil"/>
          <w:left w:val="nil"/>
          <w:bottom w:val="nil"/>
          <w:right w:val="nil"/>
          <w:between w:val="nil"/>
        </w:pBdr>
        <w:spacing w:before="52" w:line="240" w:lineRule="auto"/>
        <w:ind w:left="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qz.com/yuan-dollar-china-russia-ukraine-currency-reserves-1850249569. </w:t>
      </w:r>
    </w:p>
    <w:p w14:paraId="35BC8E23" w14:textId="77777777" w:rsidR="003A4FDC" w:rsidRDefault="00257A49">
      <w:pPr>
        <w:widowControl w:val="0"/>
        <w:pBdr>
          <w:top w:val="nil"/>
          <w:left w:val="nil"/>
          <w:bottom w:val="nil"/>
          <w:right w:val="nil"/>
          <w:between w:val="nil"/>
        </w:pBdr>
        <w:spacing w:before="511" w:line="459" w:lineRule="auto"/>
        <w:ind w:left="45" w:right="46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McMaken</w:t>
      </w:r>
      <w:proofErr w:type="spellEnd"/>
      <w:r>
        <w:rPr>
          <w:rFonts w:ascii="Times New Roman" w:eastAsia="Times New Roman" w:hAnsi="Times New Roman" w:cs="Times New Roman"/>
          <w:color w:val="000000"/>
          <w:sz w:val="24"/>
          <w:szCs w:val="24"/>
        </w:rPr>
        <w:t xml:space="preserve">, Ryan. “Why the Dollar Still Beats the Euro and the Yuan.” </w:t>
      </w:r>
      <w:r>
        <w:rPr>
          <w:rFonts w:ascii="Times New Roman" w:eastAsia="Times New Roman" w:hAnsi="Times New Roman" w:cs="Times New Roman"/>
          <w:i/>
          <w:color w:val="000000"/>
          <w:sz w:val="24"/>
          <w:szCs w:val="24"/>
        </w:rPr>
        <w:t>Mises Institute</w:t>
      </w:r>
      <w:r>
        <w:rPr>
          <w:rFonts w:ascii="Times New Roman" w:eastAsia="Times New Roman" w:hAnsi="Times New Roman" w:cs="Times New Roman"/>
          <w:color w:val="000000"/>
          <w:sz w:val="24"/>
          <w:szCs w:val="24"/>
        </w:rPr>
        <w:t xml:space="preserve">, 3 Feb. 2024, mises.org/mises-wire/why-dollar-still-beats-euro-and-yuan. </w:t>
      </w:r>
    </w:p>
    <w:p w14:paraId="1DA59BF9" w14:textId="77777777" w:rsidR="003A4FDC" w:rsidRDefault="00257A49">
      <w:pPr>
        <w:widowControl w:val="0"/>
        <w:pBdr>
          <w:top w:val="nil"/>
          <w:left w:val="nil"/>
          <w:bottom w:val="nil"/>
          <w:right w:val="nil"/>
          <w:between w:val="nil"/>
        </w:pBdr>
        <w:spacing w:before="292" w:line="459" w:lineRule="auto"/>
        <w:ind w:left="765" w:right="151"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Musacchio</w:t>
      </w:r>
      <w:proofErr w:type="spellEnd"/>
      <w:r>
        <w:rPr>
          <w:rFonts w:ascii="Times New Roman" w:eastAsia="Times New Roman" w:hAnsi="Times New Roman" w:cs="Times New Roman"/>
          <w:color w:val="000000"/>
          <w:sz w:val="24"/>
          <w:szCs w:val="24"/>
        </w:rPr>
        <w:t xml:space="preserve">, Aldo. "Mexico's Financial Crisis of 1994-1995." Harvard Business School Working Paper, No. 12–101, May 2012. </w:t>
      </w:r>
    </w:p>
    <w:p w14:paraId="755D6F54" w14:textId="77777777" w:rsidR="003A4FDC" w:rsidRDefault="00257A49">
      <w:pPr>
        <w:widowControl w:val="0"/>
        <w:pBdr>
          <w:top w:val="nil"/>
          <w:left w:val="nil"/>
          <w:bottom w:val="nil"/>
          <w:right w:val="nil"/>
          <w:between w:val="nil"/>
        </w:pBdr>
        <w:spacing w:before="292" w:line="459" w:lineRule="auto"/>
        <w:ind w:left="761" w:right="52" w:hanging="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Mohamed, Theron. “The Era of US Dollar Dominance Is ‘finished,’ Says Wall Street Veteran Who Just Retired after 54 Years.” </w:t>
      </w:r>
      <w:r>
        <w:rPr>
          <w:rFonts w:ascii="Times New Roman" w:eastAsia="Times New Roman" w:hAnsi="Times New Roman" w:cs="Times New Roman"/>
          <w:i/>
          <w:color w:val="000000"/>
          <w:sz w:val="24"/>
          <w:szCs w:val="24"/>
        </w:rPr>
        <w:t>Business Insider</w:t>
      </w:r>
      <w:r>
        <w:rPr>
          <w:rFonts w:ascii="Times New Roman" w:eastAsia="Times New Roman" w:hAnsi="Times New Roman" w:cs="Times New Roman"/>
          <w:color w:val="000000"/>
          <w:sz w:val="24"/>
          <w:szCs w:val="24"/>
        </w:rPr>
        <w:t>, Business Insider, 29 Jan. 2024, markets.businessinsider.com/news/currencies/dick-bove-banks-usd-dollar-dominance-cr</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lastRenderedPageBreak/>
        <w:t xml:space="preserve">pto-china-trade-outsourcing-2024-1. </w:t>
      </w:r>
    </w:p>
    <w:p w14:paraId="1C84DB7C" w14:textId="77777777" w:rsidR="003A4FDC" w:rsidRDefault="00257A49">
      <w:pPr>
        <w:widowControl w:val="0"/>
        <w:pBdr>
          <w:top w:val="nil"/>
          <w:left w:val="nil"/>
          <w:bottom w:val="nil"/>
          <w:right w:val="nil"/>
          <w:between w:val="nil"/>
        </w:pBdr>
        <w:spacing w:before="292" w:line="459" w:lineRule="auto"/>
        <w:ind w:left="777" w:right="547"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Saghir</w:t>
      </w:r>
      <w:proofErr w:type="spellEnd"/>
      <w:r>
        <w:rPr>
          <w:rFonts w:ascii="Times New Roman" w:eastAsia="Times New Roman" w:hAnsi="Times New Roman" w:cs="Times New Roman"/>
          <w:color w:val="000000"/>
          <w:sz w:val="24"/>
          <w:szCs w:val="24"/>
        </w:rPr>
        <w:t xml:space="preserve">, Jamal. “Urbanization in Sub-Saharan Africa.” </w:t>
      </w:r>
      <w:r>
        <w:rPr>
          <w:rFonts w:ascii="Times New Roman" w:eastAsia="Times New Roman" w:hAnsi="Times New Roman" w:cs="Times New Roman"/>
          <w:i/>
          <w:color w:val="000000"/>
          <w:sz w:val="24"/>
          <w:szCs w:val="24"/>
        </w:rPr>
        <w:t>Urbanization in Sub-Saharan Africa | Center for Strategic and International Studies</w:t>
      </w:r>
      <w:r>
        <w:rPr>
          <w:rFonts w:ascii="Times New Roman" w:eastAsia="Times New Roman" w:hAnsi="Times New Roman" w:cs="Times New Roman"/>
          <w:color w:val="000000"/>
          <w:sz w:val="24"/>
          <w:szCs w:val="24"/>
        </w:rPr>
        <w:t xml:space="preserve">, 3 Oct. 2017, </w:t>
      </w:r>
    </w:p>
    <w:p w14:paraId="2FE4E22A" w14:textId="77777777" w:rsidR="003A4FDC" w:rsidRDefault="00257A49">
      <w:pPr>
        <w:widowControl w:val="0"/>
        <w:pBdr>
          <w:top w:val="nil"/>
          <w:left w:val="nil"/>
          <w:bottom w:val="nil"/>
          <w:right w:val="nil"/>
          <w:between w:val="nil"/>
        </w:pBdr>
        <w:spacing w:before="52" w:line="240" w:lineRule="auto"/>
        <w:ind w:left="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https://www.csis.org/analysis/urbanization-sub-saharan-africa. </w:t>
      </w:r>
    </w:p>
    <w:p w14:paraId="7AC52EFC" w14:textId="77777777" w:rsidR="003A4FDC" w:rsidRDefault="00257A49">
      <w:pPr>
        <w:widowControl w:val="0"/>
        <w:pBdr>
          <w:top w:val="nil"/>
          <w:left w:val="nil"/>
          <w:bottom w:val="nil"/>
          <w:right w:val="nil"/>
          <w:between w:val="nil"/>
        </w:pBdr>
        <w:spacing w:before="511"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Saylor, </w:t>
      </w:r>
      <w:r>
        <w:rPr>
          <w:rFonts w:ascii="Times New Roman" w:eastAsia="Times New Roman" w:hAnsi="Times New Roman" w:cs="Times New Roman"/>
          <w:i/>
          <w:color w:val="000000"/>
          <w:sz w:val="24"/>
          <w:szCs w:val="24"/>
        </w:rPr>
        <w:t>Central Bank Independence</w:t>
      </w:r>
      <w:r>
        <w:rPr>
          <w:rFonts w:ascii="Times New Roman" w:eastAsia="Times New Roman" w:hAnsi="Times New Roman" w:cs="Times New Roman"/>
          <w:color w:val="000000"/>
          <w:sz w:val="24"/>
          <w:szCs w:val="24"/>
        </w:rPr>
        <w:t xml:space="preserve">, </w:t>
      </w:r>
    </w:p>
    <w:p w14:paraId="79A86F8E" w14:textId="77777777" w:rsidR="003A4FDC" w:rsidRDefault="00257A49">
      <w:pPr>
        <w:widowControl w:val="0"/>
        <w:pBdr>
          <w:top w:val="nil"/>
          <w:left w:val="nil"/>
          <w:bottom w:val="nil"/>
          <w:right w:val="nil"/>
          <w:between w:val="nil"/>
        </w:pBdr>
        <w:spacing w:before="271" w:line="459" w:lineRule="auto"/>
        <w:ind w:left="769" w:right="3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https://saylordotorg.github.io/text_money-and-banking-v2.0/s17-04-central-bank-indepen dence.html.</w:t>
      </w:r>
    </w:p>
    <w:p w14:paraId="4DCC9E16" w14:textId="77777777" w:rsidR="003A4FDC" w:rsidRDefault="00257A49">
      <w:pPr>
        <w:widowControl w:val="0"/>
        <w:pBdr>
          <w:top w:val="nil"/>
          <w:left w:val="nil"/>
          <w:bottom w:val="nil"/>
          <w:right w:val="nil"/>
          <w:between w:val="nil"/>
        </w:pBdr>
        <w:spacing w:line="459" w:lineRule="auto"/>
        <w:ind w:left="762" w:right="60" w:hanging="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Schneider, Mike. “Income Inequality Grew Again: The Highest Level in More than 50 Years, Census Bureau Says.” </w:t>
      </w:r>
      <w:r>
        <w:rPr>
          <w:rFonts w:ascii="Times New Roman" w:eastAsia="Times New Roman" w:hAnsi="Times New Roman" w:cs="Times New Roman"/>
          <w:i/>
          <w:color w:val="000000"/>
          <w:sz w:val="24"/>
          <w:szCs w:val="24"/>
        </w:rPr>
        <w:t>USA Today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Gannett Satellite Information Network, 26 Sept. 2019, https://www.usatoday.com/story/money/2019/09/26/income-inequality-highest-over-50-y ears-census-bureau-shows/3772919002/. </w:t>
      </w:r>
    </w:p>
    <w:p w14:paraId="3DD98371" w14:textId="77777777" w:rsidR="003A4FDC" w:rsidRDefault="00257A49">
      <w:pPr>
        <w:widowControl w:val="0"/>
        <w:pBdr>
          <w:top w:val="nil"/>
          <w:left w:val="nil"/>
          <w:bottom w:val="nil"/>
          <w:right w:val="nil"/>
          <w:between w:val="nil"/>
        </w:pBdr>
        <w:spacing w:before="292" w:line="459" w:lineRule="auto"/>
        <w:ind w:left="762" w:right="69" w:hanging="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Schoenherr, Neil. “Federal Dollar Allocations to States Result in Lower Infant Mortality Rates - the Source - Washington University in St. Louis.” </w:t>
      </w:r>
      <w:r>
        <w:rPr>
          <w:rFonts w:ascii="Times New Roman" w:eastAsia="Times New Roman" w:hAnsi="Times New Roman" w:cs="Times New Roman"/>
          <w:i/>
          <w:color w:val="000000"/>
          <w:sz w:val="24"/>
          <w:szCs w:val="24"/>
        </w:rPr>
        <w:t>The Source</w:t>
      </w:r>
      <w:r>
        <w:rPr>
          <w:rFonts w:ascii="Times New Roman" w:eastAsia="Times New Roman" w:hAnsi="Times New Roman" w:cs="Times New Roman"/>
          <w:color w:val="000000"/>
          <w:sz w:val="24"/>
          <w:szCs w:val="24"/>
        </w:rPr>
        <w:t>, 18 Sept. 2018, https://source.wustl.edu/2018/09/federal-dollar-allocations-to-states-result-in-lo</w:t>
      </w:r>
      <w:r>
        <w:rPr>
          <w:rFonts w:ascii="Times New Roman" w:eastAsia="Times New Roman" w:hAnsi="Times New Roman" w:cs="Times New Roman"/>
          <w:color w:val="000000"/>
          <w:sz w:val="24"/>
          <w:szCs w:val="24"/>
        </w:rPr>
        <w:t xml:space="preserve">wer-infan t-mortality-rates/. </w:t>
      </w:r>
    </w:p>
    <w:p w14:paraId="5C944A89" w14:textId="77777777" w:rsidR="003A4FDC" w:rsidRDefault="00257A49">
      <w:pPr>
        <w:widowControl w:val="0"/>
        <w:pBdr>
          <w:top w:val="nil"/>
          <w:left w:val="nil"/>
          <w:bottom w:val="nil"/>
          <w:right w:val="nil"/>
          <w:between w:val="nil"/>
        </w:pBdr>
        <w:spacing w:before="292" w:line="459" w:lineRule="auto"/>
        <w:ind w:left="776" w:right="54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 Stacey Vanek. “The U.S. Dollar Conquered the World. Is It at Risk of Losing Its Top Spot?” </w:t>
      </w:r>
      <w:r>
        <w:rPr>
          <w:rFonts w:ascii="Times New Roman" w:eastAsia="Times New Roman" w:hAnsi="Times New Roman" w:cs="Times New Roman"/>
          <w:i/>
          <w:color w:val="000000"/>
          <w:sz w:val="24"/>
          <w:szCs w:val="24"/>
        </w:rPr>
        <w:t>NPR</w:t>
      </w:r>
      <w:r>
        <w:rPr>
          <w:rFonts w:ascii="Times New Roman" w:eastAsia="Times New Roman" w:hAnsi="Times New Roman" w:cs="Times New Roman"/>
          <w:color w:val="000000"/>
          <w:sz w:val="24"/>
          <w:szCs w:val="24"/>
        </w:rPr>
        <w:t xml:space="preserve">, NPR, 12 June 2023, </w:t>
      </w:r>
    </w:p>
    <w:p w14:paraId="3FFC445C" w14:textId="77777777" w:rsidR="003A4FDC" w:rsidRDefault="00257A49">
      <w:pPr>
        <w:widowControl w:val="0"/>
        <w:pBdr>
          <w:top w:val="nil"/>
          <w:left w:val="nil"/>
          <w:bottom w:val="nil"/>
          <w:right w:val="nil"/>
          <w:between w:val="nil"/>
        </w:pBdr>
        <w:spacing w:before="52" w:line="459" w:lineRule="auto"/>
        <w:ind w:left="762"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www.npr.org/2023/06/12/1181062016/dollar-reserve-currency-debt-ceiling-sanctions-chi </w:t>
      </w:r>
      <w:proofErr w:type="spellStart"/>
      <w:r>
        <w:rPr>
          <w:rFonts w:ascii="Times New Roman" w:eastAsia="Times New Roman" w:hAnsi="Times New Roman" w:cs="Times New Roman"/>
          <w:color w:val="000000"/>
          <w:sz w:val="24"/>
          <w:szCs w:val="24"/>
        </w:rPr>
        <w:t>na.</w:t>
      </w:r>
      <w:proofErr w:type="spellEnd"/>
    </w:p>
    <w:sectPr w:rsidR="003A4FDC">
      <w:headerReference w:type="default" r:id="rId7"/>
      <w:pgSz w:w="12240" w:h="15840"/>
      <w:pgMar w:top="1424" w:right="1396" w:bottom="1696" w:left="139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DBA0" w14:textId="77777777" w:rsidR="00257A49" w:rsidRDefault="00257A49">
      <w:pPr>
        <w:spacing w:line="240" w:lineRule="auto"/>
      </w:pPr>
      <w:r>
        <w:separator/>
      </w:r>
    </w:p>
  </w:endnote>
  <w:endnote w:type="continuationSeparator" w:id="0">
    <w:p w14:paraId="72AD6D55" w14:textId="77777777" w:rsidR="00257A49" w:rsidRDefault="00257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C3BD" w14:textId="77777777" w:rsidR="00257A49" w:rsidRDefault="00257A49">
      <w:pPr>
        <w:spacing w:line="240" w:lineRule="auto"/>
      </w:pPr>
      <w:r>
        <w:separator/>
      </w:r>
    </w:p>
  </w:footnote>
  <w:footnote w:type="continuationSeparator" w:id="0">
    <w:p w14:paraId="59C9B6BA" w14:textId="77777777" w:rsidR="00257A49" w:rsidRDefault="00257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0EA" w14:textId="77777777" w:rsidR="003A4FDC" w:rsidRDefault="003A4F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DC"/>
    <w:rsid w:val="00257A49"/>
    <w:rsid w:val="003A4FDC"/>
    <w:rsid w:val="00F1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B38B"/>
  <w15:docId w15:val="{60A8883A-A908-4842-8FBD-21C22B49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2025-02-25T21:11:00Z</dcterms:created>
  <dcterms:modified xsi:type="dcterms:W3CDTF">2025-02-25T21:11:00Z</dcterms:modified>
</cp:coreProperties>
</file>